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637" w:rsidRDefault="00D95637">
      <w:pPr>
        <w:pStyle w:val="Heading3"/>
      </w:pPr>
    </w:p>
    <w:p w:rsidR="00D95637" w:rsidRDefault="006F65D4" w:rsidP="00234D93">
      <w:pPr>
        <w:pStyle w:val="Heading1"/>
      </w:pPr>
      <w:r>
        <w:t>Current Activities</w:t>
      </w:r>
    </w:p>
    <w:p w:rsidR="00F774CC" w:rsidRDefault="00F774CC" w:rsidP="00F774CC">
      <w:pPr>
        <w:pStyle w:val="normal0"/>
      </w:pPr>
      <w:r>
        <w:rPr>
          <w:noProof/>
        </w:rPr>
        <w:drawing>
          <wp:anchor distT="0" distB="0" distL="114300" distR="114300" simplePos="0" relativeHeight="251658240" behindDoc="1" locked="0" layoutInCell="1" allowOverlap="1">
            <wp:simplePos x="0" y="0"/>
            <wp:positionH relativeFrom="column">
              <wp:posOffset>-15240</wp:posOffset>
            </wp:positionH>
            <wp:positionV relativeFrom="paragraph">
              <wp:posOffset>147955</wp:posOffset>
            </wp:positionV>
            <wp:extent cx="2669540" cy="1996440"/>
            <wp:effectExtent l="19050" t="0" r="0" b="0"/>
            <wp:wrapTight wrapText="bothSides">
              <wp:wrapPolygon edited="0">
                <wp:start x="-154" y="0"/>
                <wp:lineTo x="-154" y="21435"/>
                <wp:lineTo x="21579" y="21435"/>
                <wp:lineTo x="21579" y="0"/>
                <wp:lineTo x="-154" y="0"/>
              </wp:wrapPolygon>
            </wp:wrapTight>
            <wp:docPr id="1" name="Picture 0" descr="2023-05-12 11.20.04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5-12 11.20.04_med.jpg"/>
                    <pic:cNvPicPr/>
                  </pic:nvPicPr>
                  <pic:blipFill>
                    <a:blip r:embed="rId7" cstate="print"/>
                    <a:stretch>
                      <a:fillRect/>
                    </a:stretch>
                  </pic:blipFill>
                  <pic:spPr>
                    <a:xfrm>
                      <a:off x="0" y="0"/>
                      <a:ext cx="2669540" cy="1996440"/>
                    </a:xfrm>
                    <a:prstGeom prst="rect">
                      <a:avLst/>
                    </a:prstGeom>
                  </pic:spPr>
                </pic:pic>
              </a:graphicData>
            </a:graphic>
          </wp:anchor>
        </w:drawing>
      </w:r>
    </w:p>
    <w:p w:rsidR="00F774CC" w:rsidRDefault="00F774CC" w:rsidP="00F774CC">
      <w:pPr>
        <w:pStyle w:val="normal0"/>
      </w:pPr>
      <w:r>
        <w:t>Curators have clubbed together and purchased a parts cleaner. Whilst it is large enough to hold even the largest of our typewriters it will also be very handy for smaller parts. Forty year old IBM No.6 oil is rather more like Gloy adhesive, for those of us who remember the little bottles with the slotted rubber cap. It remains to be seen how well it tackles a Selectric I/O typewriter – first victim is visible on the workbench.</w:t>
      </w:r>
      <w:r w:rsidR="00F24638">
        <w:t xml:space="preserve"> The only caveat is the detergent doesn’t agree with aluminium, where it has to be washed off pronto.</w:t>
      </w:r>
    </w:p>
    <w:p w:rsidR="00F24638" w:rsidRDefault="00F24638" w:rsidP="00F774CC">
      <w:pPr>
        <w:pStyle w:val="normal0"/>
      </w:pPr>
    </w:p>
    <w:p w:rsidR="00E5235C" w:rsidRDefault="00171A38" w:rsidP="007B2393">
      <w:pPr>
        <w:pStyle w:val="normal0"/>
      </w:pPr>
      <w:r>
        <w:rPr>
          <w:noProof/>
        </w:rPr>
        <w:drawing>
          <wp:anchor distT="0" distB="0" distL="114300" distR="114300" simplePos="0" relativeHeight="251659264" behindDoc="1" locked="0" layoutInCell="1" allowOverlap="1">
            <wp:simplePos x="0" y="0"/>
            <wp:positionH relativeFrom="column">
              <wp:posOffset>3383280</wp:posOffset>
            </wp:positionH>
            <wp:positionV relativeFrom="paragraph">
              <wp:posOffset>26035</wp:posOffset>
            </wp:positionV>
            <wp:extent cx="2686050" cy="2019300"/>
            <wp:effectExtent l="19050" t="0" r="0" b="0"/>
            <wp:wrapTight wrapText="bothSides">
              <wp:wrapPolygon edited="0">
                <wp:start x="-153" y="0"/>
                <wp:lineTo x="-153" y="21396"/>
                <wp:lineTo x="21600" y="21396"/>
                <wp:lineTo x="21600" y="0"/>
                <wp:lineTo x="-153" y="0"/>
              </wp:wrapPolygon>
            </wp:wrapTight>
            <wp:docPr id="2" name="Picture 1" descr="0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88.jpg"/>
                    <pic:cNvPicPr/>
                  </pic:nvPicPr>
                  <pic:blipFill>
                    <a:blip r:embed="rId8"/>
                    <a:stretch>
                      <a:fillRect/>
                    </a:stretch>
                  </pic:blipFill>
                  <pic:spPr>
                    <a:xfrm>
                      <a:off x="0" y="0"/>
                      <a:ext cx="2686050" cy="2019300"/>
                    </a:xfrm>
                    <a:prstGeom prst="rect">
                      <a:avLst/>
                    </a:prstGeom>
                  </pic:spPr>
                </pic:pic>
              </a:graphicData>
            </a:graphic>
          </wp:anchor>
        </w:drawing>
      </w:r>
    </w:p>
    <w:p w:rsidR="008F116D" w:rsidRDefault="00F774CC" w:rsidP="00F774CC">
      <w:pPr>
        <w:pStyle w:val="normal0"/>
      </w:pPr>
      <w:r>
        <w:t>Our new curator has been working through our collection of PS/2 P70 portables</w:t>
      </w:r>
      <w:r w:rsidR="008F116D">
        <w:t xml:space="preserve"> and PC Convertibles</w:t>
      </w:r>
      <w:r>
        <w:t xml:space="preserve">, testing whether they are in working order. </w:t>
      </w:r>
    </w:p>
    <w:p w:rsidR="00171A38" w:rsidRDefault="00171A38" w:rsidP="00F774CC">
      <w:pPr>
        <w:pStyle w:val="normal0"/>
      </w:pPr>
    </w:p>
    <w:p w:rsidR="008F116D" w:rsidRDefault="00171A38" w:rsidP="00F774CC">
      <w:pPr>
        <w:pStyle w:val="normal0"/>
      </w:pPr>
      <w:r>
        <w:rPr>
          <w:noProof/>
        </w:rPr>
        <w:drawing>
          <wp:anchor distT="0" distB="0" distL="114300" distR="114300" simplePos="0" relativeHeight="251660288" behindDoc="1" locked="0" layoutInCell="1" allowOverlap="1">
            <wp:simplePos x="0" y="0"/>
            <wp:positionH relativeFrom="column">
              <wp:posOffset>-15240</wp:posOffset>
            </wp:positionH>
            <wp:positionV relativeFrom="paragraph">
              <wp:posOffset>87630</wp:posOffset>
            </wp:positionV>
            <wp:extent cx="2945130" cy="2209800"/>
            <wp:effectExtent l="19050" t="0" r="7620" b="0"/>
            <wp:wrapTight wrapText="bothSides">
              <wp:wrapPolygon edited="0">
                <wp:start x="-140" y="0"/>
                <wp:lineTo x="-140" y="21414"/>
                <wp:lineTo x="21656" y="21414"/>
                <wp:lineTo x="21656" y="0"/>
                <wp:lineTo x="-140" y="0"/>
              </wp:wrapPolygon>
            </wp:wrapTight>
            <wp:docPr id="3" name="Picture 2" descr="0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86.jpg"/>
                    <pic:cNvPicPr/>
                  </pic:nvPicPr>
                  <pic:blipFill>
                    <a:blip r:embed="rId9"/>
                    <a:stretch>
                      <a:fillRect/>
                    </a:stretch>
                  </pic:blipFill>
                  <pic:spPr>
                    <a:xfrm>
                      <a:off x="0" y="0"/>
                      <a:ext cx="2945130" cy="2209800"/>
                    </a:xfrm>
                    <a:prstGeom prst="rect">
                      <a:avLst/>
                    </a:prstGeom>
                  </pic:spPr>
                </pic:pic>
              </a:graphicData>
            </a:graphic>
          </wp:anchor>
        </w:drawing>
      </w:r>
    </w:p>
    <w:p w:rsidR="00171A38" w:rsidRDefault="00171A38" w:rsidP="00F774CC">
      <w:pPr>
        <w:pStyle w:val="normal0"/>
      </w:pPr>
    </w:p>
    <w:p w:rsidR="00171A38" w:rsidRDefault="00171A38" w:rsidP="00F774CC">
      <w:pPr>
        <w:pStyle w:val="normal0"/>
      </w:pPr>
    </w:p>
    <w:p w:rsidR="00171A38" w:rsidRDefault="00171A38" w:rsidP="00F774CC">
      <w:pPr>
        <w:pStyle w:val="normal0"/>
      </w:pPr>
    </w:p>
    <w:p w:rsidR="00171A38" w:rsidRDefault="00171A38" w:rsidP="00F774CC">
      <w:pPr>
        <w:pStyle w:val="normal0"/>
      </w:pPr>
    </w:p>
    <w:p w:rsidR="00171A38" w:rsidRDefault="00171A38" w:rsidP="00171A38">
      <w:pPr>
        <w:pStyle w:val="normal1"/>
      </w:pPr>
    </w:p>
    <w:p w:rsidR="00171A38" w:rsidRDefault="00171A38" w:rsidP="00171A38">
      <w:pPr>
        <w:pStyle w:val="normal1"/>
      </w:pPr>
    </w:p>
    <w:p w:rsidR="00171A38" w:rsidRDefault="00171A38" w:rsidP="00171A38">
      <w:pPr>
        <w:pStyle w:val="normal1"/>
      </w:pPr>
      <w:r>
        <w:t>We do have more of these than we need, several working, and could donate to a worthy cause. If anyone is interested please contact Peter S.</w:t>
      </w:r>
    </w:p>
    <w:p w:rsidR="00171A38" w:rsidRDefault="00171A38" w:rsidP="00F774CC">
      <w:pPr>
        <w:pStyle w:val="normal0"/>
      </w:pPr>
      <w:r>
        <w:t xml:space="preserve">I am hoping to get to see Jim Austin’s Computer Sheds this year, so we </w:t>
      </w:r>
      <w:r w:rsidR="00D215FF">
        <w:t>should</w:t>
      </w:r>
      <w:r>
        <w:t xml:space="preserve"> be able to offer him one of each.</w:t>
      </w:r>
    </w:p>
    <w:p w:rsidR="00171A38" w:rsidRDefault="00171A38" w:rsidP="00F774CC">
      <w:pPr>
        <w:pStyle w:val="normal0"/>
      </w:pPr>
    </w:p>
    <w:p w:rsidR="00F07A87" w:rsidRDefault="00F07A87" w:rsidP="00F774CC">
      <w:pPr>
        <w:pStyle w:val="normal0"/>
      </w:pPr>
      <w:r>
        <w:t xml:space="preserve">We continue to sort through thousands of photos and slides. All interesting hardware photos are scanned and will eventually arrive on the photo archive website. We are in discussion with Hursley about what to do with these photos once scanned. </w:t>
      </w:r>
    </w:p>
    <w:p w:rsidR="001551B7" w:rsidRDefault="001551B7" w:rsidP="00F774CC">
      <w:pPr>
        <w:pStyle w:val="normal0"/>
      </w:pPr>
    </w:p>
    <w:p w:rsidR="00171A38" w:rsidRDefault="004009DE" w:rsidP="00F774CC">
      <w:pPr>
        <w:pStyle w:val="normal0"/>
      </w:pPr>
      <w:r>
        <w:t xml:space="preserve">This week marks the very final withdrawal of IBM from Greenock, with employees at the Pottery Street building moving to Glasgow. There’s a copy of the Greenock Telegraph report at </w:t>
      </w:r>
      <w:hyperlink r:id="rId10" w:history="1">
        <w:r w:rsidRPr="00C5261D">
          <w:rPr>
            <w:rStyle w:val="Hyperlink"/>
          </w:rPr>
          <w:t>http://igonta.net/hursley/IBM%20Locations/Greenock/Greenock%20-%20The%20End%20May%202023/Greenock%20Ending.pdf</w:t>
        </w:r>
      </w:hyperlink>
      <w:r>
        <w:t xml:space="preserve"> . A selection of photographs of </w:t>
      </w:r>
      <w:r w:rsidR="00D3069E">
        <w:t xml:space="preserve"> the </w:t>
      </w:r>
      <w:r>
        <w:t>Greenock</w:t>
      </w:r>
      <w:r w:rsidR="00D3069E">
        <w:t xml:space="preserve"> plant</w:t>
      </w:r>
      <w:r>
        <w:t xml:space="preserve"> can also be found at </w:t>
      </w:r>
      <w:hyperlink r:id="rId11" w:history="1">
        <w:r w:rsidRPr="00C5261D">
          <w:rPr>
            <w:rStyle w:val="Hyperlink"/>
          </w:rPr>
          <w:t>http://igonta.net/hursley/IBM%20Locations/Greenock/</w:t>
        </w:r>
      </w:hyperlink>
      <w:r>
        <w:t xml:space="preserve"> .</w:t>
      </w:r>
    </w:p>
    <w:p w:rsidR="001154B5" w:rsidRDefault="001154B5" w:rsidP="00F774CC">
      <w:pPr>
        <w:pStyle w:val="normal0"/>
      </w:pPr>
    </w:p>
    <w:p w:rsidR="001154B5" w:rsidRDefault="001154B5" w:rsidP="00F774CC">
      <w:pPr>
        <w:pStyle w:val="normal0"/>
      </w:pPr>
    </w:p>
    <w:p w:rsidR="00171A38" w:rsidRDefault="00171A38" w:rsidP="00F774CC">
      <w:pPr>
        <w:pStyle w:val="normal0"/>
      </w:pPr>
    </w:p>
    <w:p w:rsidR="00171A38" w:rsidRPr="007B2393" w:rsidRDefault="00171A38" w:rsidP="00F774CC">
      <w:pPr>
        <w:pStyle w:val="normal0"/>
      </w:pPr>
    </w:p>
    <w:sectPr w:rsidR="00171A38" w:rsidRPr="007B2393" w:rsidSect="00D95637">
      <w:headerReference w:type="default" r:id="rId12"/>
      <w:footerReference w:type="default" r:id="rId13"/>
      <w:pgSz w:w="11906" w:h="16838"/>
      <w:pgMar w:top="1440" w:right="1230" w:bottom="1440" w:left="1230"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3B5" w:rsidRDefault="00B013B5" w:rsidP="00D95637">
      <w:r>
        <w:separator/>
      </w:r>
    </w:p>
  </w:endnote>
  <w:endnote w:type="continuationSeparator" w:id="1">
    <w:p w:rsidR="00B013B5" w:rsidRDefault="00B013B5" w:rsidP="00D95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637" w:rsidRDefault="006F65D4">
    <w:pPr>
      <w:pStyle w:val="normal0"/>
      <w:pBdr>
        <w:top w:val="nil"/>
        <w:left w:val="nil"/>
        <w:bottom w:val="nil"/>
        <w:right w:val="nil"/>
        <w:between w:val="nil"/>
      </w:pBdr>
      <w:tabs>
        <w:tab w:val="center" w:pos="4153"/>
        <w:tab w:val="right" w:pos="8306"/>
      </w:tabs>
      <w:jc w:val="center"/>
      <w:rPr>
        <w:color w:val="000000"/>
      </w:rPr>
    </w:pPr>
    <w:r>
      <w:rPr>
        <w:color w:val="000000"/>
      </w:rPr>
      <w:t xml:space="preserve">Web Site: </w:t>
    </w:r>
    <w:hyperlink r:id="rId1">
      <w:r>
        <w:rPr>
          <w:color w:val="0000FF"/>
          <w:u w:val="single"/>
        </w:rPr>
        <w:t>https://hursley.slx-online.biz/</w:t>
      </w:r>
    </w:hyperlink>
    <w:r w:rsidR="00F93426">
      <w:t xml:space="preserve">  Photo Archive: </w:t>
    </w:r>
    <w:hyperlink r:id="rId2" w:history="1">
      <w:r w:rsidR="00F93426" w:rsidRPr="003D6942">
        <w:rPr>
          <w:rStyle w:val="Hyperlink"/>
        </w:rPr>
        <w:t>http://igonta.net/hursley/</w:t>
      </w:r>
    </w:hyperlink>
  </w:p>
  <w:p w:rsidR="00D95637" w:rsidRDefault="006F65D4">
    <w:pPr>
      <w:pStyle w:val="normal0"/>
      <w:pBdr>
        <w:top w:val="nil"/>
        <w:left w:val="nil"/>
        <w:bottom w:val="nil"/>
        <w:right w:val="nil"/>
        <w:between w:val="nil"/>
      </w:pBdr>
      <w:tabs>
        <w:tab w:val="center" w:pos="4153"/>
        <w:tab w:val="right" w:pos="8306"/>
      </w:tabs>
      <w:jc w:val="center"/>
      <w:rPr>
        <w:color w:val="000000"/>
      </w:rPr>
    </w:pPr>
    <w:r>
      <w:rPr>
        <w:color w:val="000000"/>
      </w:rPr>
      <w:t xml:space="preserve">IBM Contact: </w:t>
    </w:r>
    <w:hyperlink r:id="rId3">
      <w:r>
        <w:rPr>
          <w:color w:val="0000FF"/>
          <w:u w:val="single"/>
        </w:rPr>
        <w:t>Hursley Communications</w:t>
      </w:r>
    </w:hyperlink>
    <w:r>
      <w:rPr>
        <w:color w:val="000000"/>
      </w:rPr>
      <w:tab/>
      <w:t xml:space="preserve">        Curator Contact: </w:t>
    </w:r>
    <w:hyperlink r:id="rId4">
      <w:r>
        <w:rPr>
          <w:color w:val="0000FF"/>
          <w:u w:val="single"/>
        </w:rPr>
        <w:t>Peter Short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3B5" w:rsidRDefault="00B013B5" w:rsidP="00D95637">
      <w:r>
        <w:separator/>
      </w:r>
    </w:p>
  </w:footnote>
  <w:footnote w:type="continuationSeparator" w:id="1">
    <w:p w:rsidR="00B013B5" w:rsidRDefault="00B013B5" w:rsidP="00D956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637" w:rsidRDefault="006F65D4">
    <w:pPr>
      <w:pStyle w:val="Heading1"/>
    </w:pPr>
    <w:r>
      <w:t xml:space="preserve">Hursley Museum Services – </w:t>
    </w:r>
    <w:r w:rsidR="003B5148">
      <w:t>Ma</w:t>
    </w:r>
    <w:r w:rsidR="007A1219">
      <w:t>y</w:t>
    </w:r>
    <w:r w:rsidR="001968F4">
      <w:t xml:space="preserve"> 2023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95637"/>
    <w:rsid w:val="00027613"/>
    <w:rsid w:val="00027805"/>
    <w:rsid w:val="0005215A"/>
    <w:rsid w:val="000552C4"/>
    <w:rsid w:val="00085101"/>
    <w:rsid w:val="00090389"/>
    <w:rsid w:val="000A66A2"/>
    <w:rsid w:val="000C1413"/>
    <w:rsid w:val="000C5D33"/>
    <w:rsid w:val="000D7E8B"/>
    <w:rsid w:val="001144D2"/>
    <w:rsid w:val="001154B5"/>
    <w:rsid w:val="0015171A"/>
    <w:rsid w:val="001551B7"/>
    <w:rsid w:val="00171A38"/>
    <w:rsid w:val="00192976"/>
    <w:rsid w:val="001968F4"/>
    <w:rsid w:val="001A2433"/>
    <w:rsid w:val="001B50BF"/>
    <w:rsid w:val="001B7E80"/>
    <w:rsid w:val="001E319D"/>
    <w:rsid w:val="001E40F7"/>
    <w:rsid w:val="00214D90"/>
    <w:rsid w:val="002165DF"/>
    <w:rsid w:val="00234D93"/>
    <w:rsid w:val="0027699A"/>
    <w:rsid w:val="002A3B80"/>
    <w:rsid w:val="002A3C75"/>
    <w:rsid w:val="002C47A5"/>
    <w:rsid w:val="002C5AA7"/>
    <w:rsid w:val="002E4987"/>
    <w:rsid w:val="00302649"/>
    <w:rsid w:val="003249FE"/>
    <w:rsid w:val="00342E4D"/>
    <w:rsid w:val="00386508"/>
    <w:rsid w:val="003B5148"/>
    <w:rsid w:val="003D6942"/>
    <w:rsid w:val="003E437F"/>
    <w:rsid w:val="003E5C20"/>
    <w:rsid w:val="004009DE"/>
    <w:rsid w:val="00416E71"/>
    <w:rsid w:val="00423945"/>
    <w:rsid w:val="004316BC"/>
    <w:rsid w:val="004365E1"/>
    <w:rsid w:val="00482355"/>
    <w:rsid w:val="004927E1"/>
    <w:rsid w:val="00496406"/>
    <w:rsid w:val="004A4670"/>
    <w:rsid w:val="004A5294"/>
    <w:rsid w:val="004A583D"/>
    <w:rsid w:val="004F2E45"/>
    <w:rsid w:val="005251D2"/>
    <w:rsid w:val="00527063"/>
    <w:rsid w:val="00545F61"/>
    <w:rsid w:val="00563552"/>
    <w:rsid w:val="005D64EC"/>
    <w:rsid w:val="005E1770"/>
    <w:rsid w:val="005E19B7"/>
    <w:rsid w:val="00601288"/>
    <w:rsid w:val="006066BE"/>
    <w:rsid w:val="00620BC3"/>
    <w:rsid w:val="00653087"/>
    <w:rsid w:val="006530E4"/>
    <w:rsid w:val="006550BA"/>
    <w:rsid w:val="006666F1"/>
    <w:rsid w:val="00667876"/>
    <w:rsid w:val="00671EE9"/>
    <w:rsid w:val="006C56E3"/>
    <w:rsid w:val="006E74AE"/>
    <w:rsid w:val="006F65D4"/>
    <w:rsid w:val="00722977"/>
    <w:rsid w:val="00737E90"/>
    <w:rsid w:val="0074545F"/>
    <w:rsid w:val="00776016"/>
    <w:rsid w:val="007A1219"/>
    <w:rsid w:val="007A4B5E"/>
    <w:rsid w:val="007B2393"/>
    <w:rsid w:val="007D7C8F"/>
    <w:rsid w:val="007E0AC4"/>
    <w:rsid w:val="007E30DF"/>
    <w:rsid w:val="007E5ED8"/>
    <w:rsid w:val="00834AFD"/>
    <w:rsid w:val="00844645"/>
    <w:rsid w:val="00870AA6"/>
    <w:rsid w:val="008819D1"/>
    <w:rsid w:val="008D2013"/>
    <w:rsid w:val="008F116D"/>
    <w:rsid w:val="00933DD3"/>
    <w:rsid w:val="0094259F"/>
    <w:rsid w:val="00972ED4"/>
    <w:rsid w:val="00975469"/>
    <w:rsid w:val="00995E9B"/>
    <w:rsid w:val="009B4A86"/>
    <w:rsid w:val="009C125F"/>
    <w:rsid w:val="009D5C1B"/>
    <w:rsid w:val="009F4523"/>
    <w:rsid w:val="009F5CC0"/>
    <w:rsid w:val="00A032F0"/>
    <w:rsid w:val="00A148E2"/>
    <w:rsid w:val="00A17357"/>
    <w:rsid w:val="00A654D9"/>
    <w:rsid w:val="00A80526"/>
    <w:rsid w:val="00A956D4"/>
    <w:rsid w:val="00AA283F"/>
    <w:rsid w:val="00AC0DD6"/>
    <w:rsid w:val="00AD67DF"/>
    <w:rsid w:val="00AF4F91"/>
    <w:rsid w:val="00B013B5"/>
    <w:rsid w:val="00B13165"/>
    <w:rsid w:val="00B47B29"/>
    <w:rsid w:val="00B97581"/>
    <w:rsid w:val="00BB3C8B"/>
    <w:rsid w:val="00BD5642"/>
    <w:rsid w:val="00BE4C20"/>
    <w:rsid w:val="00C04CD8"/>
    <w:rsid w:val="00C37D3A"/>
    <w:rsid w:val="00C52F68"/>
    <w:rsid w:val="00C575F2"/>
    <w:rsid w:val="00C97ABA"/>
    <w:rsid w:val="00CA41B7"/>
    <w:rsid w:val="00CB2802"/>
    <w:rsid w:val="00CB60A2"/>
    <w:rsid w:val="00D05132"/>
    <w:rsid w:val="00D200A5"/>
    <w:rsid w:val="00D215FF"/>
    <w:rsid w:val="00D21D7F"/>
    <w:rsid w:val="00D3069E"/>
    <w:rsid w:val="00D41812"/>
    <w:rsid w:val="00D70FB4"/>
    <w:rsid w:val="00D77856"/>
    <w:rsid w:val="00D85961"/>
    <w:rsid w:val="00D95637"/>
    <w:rsid w:val="00DA2A8C"/>
    <w:rsid w:val="00DD6337"/>
    <w:rsid w:val="00E10055"/>
    <w:rsid w:val="00E20AE8"/>
    <w:rsid w:val="00E2554B"/>
    <w:rsid w:val="00E33025"/>
    <w:rsid w:val="00E354FE"/>
    <w:rsid w:val="00E37328"/>
    <w:rsid w:val="00E5235C"/>
    <w:rsid w:val="00E54016"/>
    <w:rsid w:val="00E81012"/>
    <w:rsid w:val="00EB370F"/>
    <w:rsid w:val="00EB6F52"/>
    <w:rsid w:val="00EC014F"/>
    <w:rsid w:val="00EF7481"/>
    <w:rsid w:val="00F07A87"/>
    <w:rsid w:val="00F16686"/>
    <w:rsid w:val="00F24638"/>
    <w:rsid w:val="00F569B0"/>
    <w:rsid w:val="00F6276F"/>
    <w:rsid w:val="00F774CC"/>
    <w:rsid w:val="00F869AD"/>
    <w:rsid w:val="00F93426"/>
    <w:rsid w:val="00FD1B0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F68"/>
  </w:style>
  <w:style w:type="paragraph" w:styleId="Heading1">
    <w:name w:val="heading 1"/>
    <w:basedOn w:val="normal0"/>
    <w:next w:val="normal0"/>
    <w:rsid w:val="00D95637"/>
    <w:pPr>
      <w:keepNext/>
      <w:spacing w:before="240" w:after="60"/>
      <w:outlineLvl w:val="0"/>
    </w:pPr>
    <w:rPr>
      <w:rFonts w:ascii="Arial" w:eastAsia="Arial" w:hAnsi="Arial" w:cs="Arial"/>
      <w:b/>
      <w:sz w:val="32"/>
      <w:szCs w:val="32"/>
    </w:rPr>
  </w:style>
  <w:style w:type="paragraph" w:styleId="Heading2">
    <w:name w:val="heading 2"/>
    <w:basedOn w:val="normal0"/>
    <w:next w:val="normal0"/>
    <w:rsid w:val="00D95637"/>
    <w:pPr>
      <w:keepNext/>
      <w:spacing w:before="240" w:after="60"/>
      <w:outlineLvl w:val="1"/>
    </w:pPr>
    <w:rPr>
      <w:rFonts w:ascii="Arial" w:eastAsia="Arial" w:hAnsi="Arial" w:cs="Arial"/>
      <w:b/>
      <w:i/>
      <w:sz w:val="28"/>
      <w:szCs w:val="28"/>
    </w:rPr>
  </w:style>
  <w:style w:type="paragraph" w:styleId="Heading3">
    <w:name w:val="heading 3"/>
    <w:basedOn w:val="normal0"/>
    <w:next w:val="normal0"/>
    <w:rsid w:val="00D95637"/>
    <w:pPr>
      <w:keepNext/>
      <w:spacing w:before="240" w:after="60"/>
      <w:outlineLvl w:val="2"/>
    </w:pPr>
    <w:rPr>
      <w:rFonts w:ascii="Arial" w:eastAsia="Arial" w:hAnsi="Arial" w:cs="Arial"/>
      <w:b/>
      <w:sz w:val="26"/>
      <w:szCs w:val="26"/>
    </w:rPr>
  </w:style>
  <w:style w:type="paragraph" w:styleId="Heading4">
    <w:name w:val="heading 4"/>
    <w:basedOn w:val="normal0"/>
    <w:next w:val="normal0"/>
    <w:rsid w:val="00D95637"/>
    <w:pPr>
      <w:keepNext/>
      <w:keepLines/>
      <w:spacing w:before="240" w:after="40"/>
      <w:outlineLvl w:val="3"/>
    </w:pPr>
    <w:rPr>
      <w:b/>
    </w:rPr>
  </w:style>
  <w:style w:type="paragraph" w:styleId="Heading5">
    <w:name w:val="heading 5"/>
    <w:basedOn w:val="normal0"/>
    <w:next w:val="normal0"/>
    <w:rsid w:val="00D95637"/>
    <w:pPr>
      <w:keepNext/>
      <w:keepLines/>
      <w:spacing w:before="220" w:after="40"/>
      <w:outlineLvl w:val="4"/>
    </w:pPr>
    <w:rPr>
      <w:b/>
      <w:sz w:val="22"/>
      <w:szCs w:val="22"/>
    </w:rPr>
  </w:style>
  <w:style w:type="paragraph" w:styleId="Heading6">
    <w:name w:val="heading 6"/>
    <w:basedOn w:val="normal0"/>
    <w:next w:val="normal0"/>
    <w:rsid w:val="00D9563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D95637"/>
  </w:style>
  <w:style w:type="paragraph" w:styleId="Title">
    <w:name w:val="Title"/>
    <w:basedOn w:val="normal0"/>
    <w:next w:val="normal0"/>
    <w:rsid w:val="00D95637"/>
    <w:pPr>
      <w:keepNext/>
      <w:keepLines/>
      <w:spacing w:before="480" w:after="120"/>
    </w:pPr>
    <w:rPr>
      <w:b/>
      <w:sz w:val="72"/>
      <w:szCs w:val="72"/>
    </w:rPr>
  </w:style>
  <w:style w:type="paragraph" w:customStyle="1" w:styleId="normal0">
    <w:name w:val="normal"/>
    <w:rsid w:val="00D95637"/>
  </w:style>
  <w:style w:type="paragraph" w:styleId="Subtitle">
    <w:name w:val="Subtitle"/>
    <w:basedOn w:val="normal0"/>
    <w:next w:val="normal0"/>
    <w:rsid w:val="00D95637"/>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F4523"/>
    <w:rPr>
      <w:color w:val="0000FF" w:themeColor="hyperlink"/>
      <w:u w:val="single"/>
    </w:rPr>
  </w:style>
  <w:style w:type="paragraph" w:styleId="Header">
    <w:name w:val="header"/>
    <w:basedOn w:val="Normal"/>
    <w:link w:val="HeaderChar"/>
    <w:uiPriority w:val="99"/>
    <w:semiHidden/>
    <w:unhideWhenUsed/>
    <w:rsid w:val="00D41812"/>
    <w:pPr>
      <w:tabs>
        <w:tab w:val="center" w:pos="4513"/>
        <w:tab w:val="right" w:pos="9026"/>
      </w:tabs>
    </w:pPr>
  </w:style>
  <w:style w:type="character" w:customStyle="1" w:styleId="HeaderChar">
    <w:name w:val="Header Char"/>
    <w:basedOn w:val="DefaultParagraphFont"/>
    <w:link w:val="Header"/>
    <w:uiPriority w:val="99"/>
    <w:semiHidden/>
    <w:rsid w:val="00D41812"/>
  </w:style>
  <w:style w:type="paragraph" w:styleId="Footer">
    <w:name w:val="footer"/>
    <w:basedOn w:val="Normal"/>
    <w:link w:val="FooterChar"/>
    <w:uiPriority w:val="99"/>
    <w:semiHidden/>
    <w:unhideWhenUsed/>
    <w:rsid w:val="00D41812"/>
    <w:pPr>
      <w:tabs>
        <w:tab w:val="center" w:pos="4513"/>
        <w:tab w:val="right" w:pos="9026"/>
      </w:tabs>
    </w:pPr>
  </w:style>
  <w:style w:type="character" w:customStyle="1" w:styleId="FooterChar">
    <w:name w:val="Footer Char"/>
    <w:basedOn w:val="DefaultParagraphFont"/>
    <w:link w:val="Footer"/>
    <w:uiPriority w:val="99"/>
    <w:semiHidden/>
    <w:rsid w:val="00D41812"/>
  </w:style>
  <w:style w:type="paragraph" w:styleId="BalloonText">
    <w:name w:val="Balloon Text"/>
    <w:basedOn w:val="Normal"/>
    <w:link w:val="BalloonTextChar"/>
    <w:uiPriority w:val="99"/>
    <w:semiHidden/>
    <w:unhideWhenUsed/>
    <w:rsid w:val="00844645"/>
    <w:rPr>
      <w:rFonts w:ascii="Tahoma" w:hAnsi="Tahoma" w:cs="Tahoma"/>
      <w:sz w:val="16"/>
      <w:szCs w:val="16"/>
    </w:rPr>
  </w:style>
  <w:style w:type="character" w:customStyle="1" w:styleId="BalloonTextChar">
    <w:name w:val="Balloon Text Char"/>
    <w:basedOn w:val="DefaultParagraphFont"/>
    <w:link w:val="BalloonText"/>
    <w:uiPriority w:val="99"/>
    <w:semiHidden/>
    <w:rsid w:val="00844645"/>
    <w:rPr>
      <w:rFonts w:ascii="Tahoma" w:hAnsi="Tahoma" w:cs="Tahoma"/>
      <w:sz w:val="16"/>
      <w:szCs w:val="16"/>
    </w:rPr>
  </w:style>
  <w:style w:type="character" w:styleId="FollowedHyperlink">
    <w:name w:val="FollowedHyperlink"/>
    <w:basedOn w:val="DefaultParagraphFont"/>
    <w:uiPriority w:val="99"/>
    <w:semiHidden/>
    <w:unhideWhenUsed/>
    <w:rsid w:val="004365E1"/>
    <w:rPr>
      <w:color w:val="800080" w:themeColor="followedHyperlink"/>
      <w:u w:val="single"/>
    </w:rPr>
  </w:style>
  <w:style w:type="paragraph" w:customStyle="1" w:styleId="Normal2">
    <w:name w:val="Normal2"/>
    <w:rsid w:val="00AD67DF"/>
  </w:style>
  <w:style w:type="character" w:styleId="CommentReference">
    <w:name w:val="annotation reference"/>
    <w:basedOn w:val="DefaultParagraphFont"/>
    <w:uiPriority w:val="99"/>
    <w:semiHidden/>
    <w:unhideWhenUsed/>
    <w:rsid w:val="00AD67DF"/>
    <w:rPr>
      <w:sz w:val="16"/>
      <w:szCs w:val="16"/>
    </w:rPr>
  </w:style>
  <w:style w:type="paragraph" w:styleId="CommentText">
    <w:name w:val="annotation text"/>
    <w:basedOn w:val="Normal"/>
    <w:link w:val="CommentTextChar"/>
    <w:uiPriority w:val="99"/>
    <w:semiHidden/>
    <w:unhideWhenUsed/>
    <w:rsid w:val="00AD67DF"/>
    <w:rPr>
      <w:sz w:val="20"/>
      <w:szCs w:val="20"/>
    </w:rPr>
  </w:style>
  <w:style w:type="character" w:customStyle="1" w:styleId="CommentTextChar">
    <w:name w:val="Comment Text Char"/>
    <w:basedOn w:val="DefaultParagraphFont"/>
    <w:link w:val="CommentText"/>
    <w:uiPriority w:val="99"/>
    <w:semiHidden/>
    <w:rsid w:val="00AD67DF"/>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gonta.net/hursley/IBM%20Locations/Greenoc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gonta.net/hursley/IBM%20Locations/Greenock/Greenock%20-%20The%20End%20May%202023/Greenock%20Ending.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nnex@uk.ibm.com" TargetMode="External"/><Relationship Id="rId2" Type="http://schemas.openxmlformats.org/officeDocument/2006/relationships/hyperlink" Target="http://igonta.net/hursley/" TargetMode="External"/><Relationship Id="rId1" Type="http://schemas.openxmlformats.org/officeDocument/2006/relationships/hyperlink" Target="https://hursley.slx-online.biz/" TargetMode="External"/><Relationship Id="rId4" Type="http://schemas.openxmlformats.org/officeDocument/2006/relationships/hyperlink" Target="mailto:peters@slx-online.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mdcAms85n5CEhWovH1r7D9AZpA==">AMUW2mXm4bKgvtQRGOk3QEcdNTeWY8MsYSPvoPt0Vh9JvL70EmIuAujhI1+Er13mqyRT06ddk4eeHwRHhX2t5t61mRCzcXFFMCXuNQwAsfld9zR/OzCD33M=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SLX</dc:creator>
  <cp:lastModifiedBy>Peter Short</cp:lastModifiedBy>
  <cp:revision>6</cp:revision>
  <cp:lastPrinted>2023-05-15T13:14:00Z</cp:lastPrinted>
  <dcterms:created xsi:type="dcterms:W3CDTF">2023-05-15T13:17:00Z</dcterms:created>
  <dcterms:modified xsi:type="dcterms:W3CDTF">2023-05-16T13:37:00Z</dcterms:modified>
</cp:coreProperties>
</file>